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F89C" w14:textId="77777777" w:rsidR="00250CA6" w:rsidRDefault="00227985">
      <w:pPr>
        <w:pStyle w:val="Title"/>
      </w:pPr>
      <w:r>
        <w:t>2023 Firearm Injury and Death Report</w:t>
      </w:r>
    </w:p>
    <w:p w14:paraId="522A20AF" w14:textId="77777777" w:rsidR="00250CA6" w:rsidRDefault="00227985">
      <w:pPr>
        <w:pStyle w:val="Author"/>
      </w:pPr>
      <w:r>
        <w:t>Jennifer Zuker</w:t>
      </w:r>
    </w:p>
    <w:p w14:paraId="3534B344" w14:textId="77777777" w:rsidR="00250CA6" w:rsidRDefault="00227985">
      <w:pPr>
        <w:pStyle w:val="Heading1"/>
      </w:pPr>
      <w:bookmarkStart w:id="0" w:name="summary"/>
      <w:r>
        <w:t>Summary</w:t>
      </w:r>
    </w:p>
    <w:p w14:paraId="41CDFB70" w14:textId="77777777" w:rsidR="00250CA6" w:rsidRDefault="00227985">
      <w:pPr>
        <w:pStyle w:val="Compact"/>
        <w:numPr>
          <w:ilvl w:val="0"/>
          <w:numId w:val="3"/>
        </w:numPr>
      </w:pPr>
      <w:r>
        <w:t>The overall number of firearm related Emergency Departments (ED) visits remained steady in 2023</w:t>
      </w:r>
    </w:p>
    <w:p w14:paraId="1633D952" w14:textId="77777777" w:rsidR="00250CA6" w:rsidRDefault="00227985">
      <w:pPr>
        <w:pStyle w:val="Compact"/>
        <w:numPr>
          <w:ilvl w:val="0"/>
          <w:numId w:val="3"/>
        </w:numPr>
      </w:pPr>
      <w:r>
        <w:t>There is a seasonal pattern each year with the first quarter being the lowest and the second/third quarter being the highest.</w:t>
      </w:r>
    </w:p>
    <w:p w14:paraId="5E24EC43" w14:textId="77777777" w:rsidR="00250CA6" w:rsidRDefault="00227985">
      <w:pPr>
        <w:pStyle w:val="Compact"/>
        <w:numPr>
          <w:ilvl w:val="0"/>
          <w:numId w:val="3"/>
        </w:numPr>
      </w:pPr>
      <w:r>
        <w:t>In 2023, males were over 4 times more likely to have a firearm-related ED visit than females.</w:t>
      </w:r>
    </w:p>
    <w:p w14:paraId="4988BF80" w14:textId="77777777" w:rsidR="00250CA6" w:rsidRDefault="00227985">
      <w:pPr>
        <w:pStyle w:val="Compact"/>
        <w:numPr>
          <w:ilvl w:val="0"/>
          <w:numId w:val="3"/>
        </w:numPr>
      </w:pPr>
      <w:r>
        <w:t>The age groups with the highest ED visits in 2023 were 18-24 and 25-34 years old.</w:t>
      </w:r>
    </w:p>
    <w:p w14:paraId="1E276054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6AFB05DA" wp14:editId="3B1C7F05">
            <wp:extent cx="5943600" cy="29718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DR5490-Yearly-Gun-Violence-Report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72D49" w14:textId="77777777" w:rsidR="00250CA6" w:rsidRDefault="00227985">
      <w:pPr>
        <w:pStyle w:val="Heading2"/>
      </w:pPr>
      <w:bookmarkStart w:id="1" w:name="emergency-department-visits-by-age"/>
      <w:r>
        <w:lastRenderedPageBreak/>
        <w:t>Emergency Department Visits by Age</w:t>
      </w:r>
    </w:p>
    <w:p w14:paraId="13814142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4F41C259" wp14:editId="28C9C0E0">
            <wp:extent cx="5943600" cy="297180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DR5490-Yearly-Gun-Violence-Report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13E7E" w14:textId="77777777" w:rsidR="00250CA6" w:rsidRDefault="00227985">
      <w:pPr>
        <w:pStyle w:val="BodyText"/>
      </w:pPr>
      <w:r>
        <w:rPr>
          <w:noProof/>
        </w:rPr>
        <w:drawing>
          <wp:inline distT="0" distB="0" distL="0" distR="0" wp14:anchorId="5EF92478" wp14:editId="16F8FA4B">
            <wp:extent cx="5943600" cy="297180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DR5490-Yearly-Gun-Violence-Report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7467D" w14:textId="77777777" w:rsidR="00250CA6" w:rsidRDefault="00227985">
      <w:pPr>
        <w:pStyle w:val="Heading2"/>
      </w:pPr>
      <w:bookmarkStart w:id="2" w:name="emergency-department-visits-by-race"/>
      <w:bookmarkEnd w:id="1"/>
      <w:r>
        <w:lastRenderedPageBreak/>
        <w:t>Emergency Department Visits by Race</w:t>
      </w:r>
    </w:p>
    <w:p w14:paraId="3417CD4D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68A6DBE5" wp14:editId="644ED96C">
            <wp:extent cx="5943600" cy="2971800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DR5490-Yearly-Gun-Violence-Report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BDD0A" w14:textId="77777777" w:rsidR="00250CA6" w:rsidRDefault="00227985">
      <w:pPr>
        <w:pStyle w:val="Heading2"/>
      </w:pPr>
      <w:bookmarkStart w:id="3" w:name="emergency-department-visits-by-sex"/>
      <w:bookmarkEnd w:id="2"/>
      <w:r>
        <w:t>Emergency Department Visits by Sex</w:t>
      </w:r>
    </w:p>
    <w:p w14:paraId="7DCB88D8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3FF80064" wp14:editId="2833D558">
            <wp:extent cx="5943600" cy="2971800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DR5490-Yearly-Gun-Violence-Report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B9DD" w14:textId="77777777" w:rsidR="00250CA6" w:rsidRDefault="00227985">
      <w:pPr>
        <w:pStyle w:val="Heading1"/>
      </w:pPr>
      <w:bookmarkStart w:id="4" w:name="homicides"/>
      <w:bookmarkEnd w:id="3"/>
      <w:bookmarkEnd w:id="0"/>
      <w:r>
        <w:lastRenderedPageBreak/>
        <w:t>Homicides</w:t>
      </w:r>
    </w:p>
    <w:p w14:paraId="34DFFC46" w14:textId="77777777" w:rsidR="00250CA6" w:rsidRDefault="00227985">
      <w:pPr>
        <w:pStyle w:val="Heading2"/>
      </w:pPr>
      <w:bookmarkStart w:id="5" w:name="homicide-deaths-by-year"/>
      <w:r>
        <w:t>Homicide Deaths by Year</w:t>
      </w:r>
    </w:p>
    <w:p w14:paraId="0FDDCA9F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678C62B7" wp14:editId="0FB3E6D7">
            <wp:extent cx="5943600" cy="2971800"/>
            <wp:effectExtent l="0" t="0" r="0" b="0"/>
            <wp:docPr id="4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 descr="DR5490-Yearly-Gun-Violence-Report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EA49" w14:textId="77777777" w:rsidR="00250CA6" w:rsidRDefault="00227985">
      <w:pPr>
        <w:pStyle w:val="Heading2"/>
      </w:pPr>
      <w:bookmarkStart w:id="6" w:name="homicide-deaths-by-raceethnicity"/>
      <w:bookmarkEnd w:id="5"/>
      <w:r>
        <w:t>Homicide Deaths by Race/Ethnicity</w:t>
      </w:r>
    </w:p>
    <w:p w14:paraId="4CD2D905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03AB9037" wp14:editId="67C833BE">
            <wp:extent cx="5943600" cy="2971800"/>
            <wp:effectExtent l="0" t="0" r="0" b="0"/>
            <wp:docPr id="4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DR5490-Yearly-Gun-Violence-Report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C813D" w14:textId="77777777" w:rsidR="00250CA6" w:rsidRDefault="00227985">
      <w:pPr>
        <w:pStyle w:val="Heading3"/>
      </w:pPr>
      <w:bookmarkStart w:id="7" w:name="homicide-deaths-by-age"/>
      <w:r>
        <w:lastRenderedPageBreak/>
        <w:t>Homicide Deaths by Age</w:t>
      </w:r>
    </w:p>
    <w:p w14:paraId="5956D4A1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0675EED9" wp14:editId="7558A0BE">
            <wp:extent cx="5943600" cy="2971800"/>
            <wp:effectExtent l="0" t="0" r="0" b="0"/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 descr="DR5490-Yearly-Gun-Violence-Report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80BA9" w14:textId="77777777" w:rsidR="00250CA6" w:rsidRDefault="00227985">
      <w:pPr>
        <w:pStyle w:val="Heading3"/>
      </w:pPr>
      <w:bookmarkStart w:id="8" w:name="homicide-deaths-by-sex"/>
      <w:bookmarkEnd w:id="7"/>
      <w:r>
        <w:t>Homicide Deaths by Sex</w:t>
      </w:r>
    </w:p>
    <w:p w14:paraId="6254572A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641B95C7" wp14:editId="114DDDC5">
            <wp:extent cx="5943600" cy="2971800"/>
            <wp:effectExtent l="0" t="0" r="0" b="0"/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 descr="DR5490-Yearly-Gun-Violence-Report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0E15D" w14:textId="77777777" w:rsidR="00250CA6" w:rsidRDefault="00227985">
      <w:pPr>
        <w:pStyle w:val="Heading1"/>
      </w:pPr>
      <w:bookmarkStart w:id="9" w:name="firearm-related-deaths"/>
      <w:bookmarkEnd w:id="8"/>
      <w:bookmarkEnd w:id="6"/>
      <w:bookmarkEnd w:id="4"/>
      <w:r>
        <w:lastRenderedPageBreak/>
        <w:t>Firearm Related Deaths</w:t>
      </w:r>
    </w:p>
    <w:p w14:paraId="2EF29756" w14:textId="77777777" w:rsidR="00250CA6" w:rsidRDefault="00227985">
      <w:pPr>
        <w:pStyle w:val="Heading2"/>
      </w:pPr>
      <w:bookmarkStart w:id="10" w:name="firearm-related-deaths-by-year"/>
      <w:r>
        <w:t>Firearm Related Deaths by Year</w:t>
      </w:r>
    </w:p>
    <w:p w14:paraId="2BA47CF5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7341864F" wp14:editId="33CA8A4C">
            <wp:extent cx="5943600" cy="2971800"/>
            <wp:effectExtent l="0" t="0" r="0" b="0"/>
            <wp:docPr id="5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" descr="DR5490-Yearly-Gun-Violence-Report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A9E1D" w14:textId="77777777" w:rsidR="00250CA6" w:rsidRDefault="00227985">
      <w:pPr>
        <w:pStyle w:val="Heading3"/>
      </w:pPr>
      <w:bookmarkStart w:id="11" w:name="firearm-deaths-by-raceethnicity"/>
      <w:r>
        <w:t>Firearm Deaths by Race/Ethnicity</w:t>
      </w:r>
    </w:p>
    <w:p w14:paraId="0F70B9F2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7C285A5A" wp14:editId="331F193F">
            <wp:extent cx="5943600" cy="2971800"/>
            <wp:effectExtent l="0" t="0" r="0" b="0"/>
            <wp:docPr id="6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 descr="DR5490-Yearly-Gun-Violence-Report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A329B" w14:textId="77777777" w:rsidR="00250CA6" w:rsidRDefault="00227985">
      <w:pPr>
        <w:pStyle w:val="Heading3"/>
      </w:pPr>
      <w:bookmarkStart w:id="12" w:name="firearm-deaths-by-age"/>
      <w:bookmarkEnd w:id="11"/>
      <w:r>
        <w:lastRenderedPageBreak/>
        <w:t>Firearm Deaths by Age</w:t>
      </w:r>
    </w:p>
    <w:p w14:paraId="20945F45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4B1844C0" wp14:editId="7D1262CC">
            <wp:extent cx="5943600" cy="2971800"/>
            <wp:effectExtent l="0" t="0" r="0" b="0"/>
            <wp:docPr id="6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" descr="DR5490-Yearly-Gun-Violence-Report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79063" w14:textId="77777777" w:rsidR="00250CA6" w:rsidRDefault="00227985">
      <w:pPr>
        <w:pStyle w:val="Heading3"/>
      </w:pPr>
      <w:bookmarkStart w:id="13" w:name="firearm-deaths-by-sex"/>
      <w:bookmarkEnd w:id="12"/>
      <w:r>
        <w:t>Firearm Deaths by Sex</w:t>
      </w:r>
    </w:p>
    <w:p w14:paraId="5E0B1A41" w14:textId="77777777" w:rsidR="00250CA6" w:rsidRDefault="00227985">
      <w:pPr>
        <w:pStyle w:val="FirstParagraph"/>
      </w:pPr>
      <w:r>
        <w:rPr>
          <w:noProof/>
        </w:rPr>
        <w:drawing>
          <wp:inline distT="0" distB="0" distL="0" distR="0" wp14:anchorId="45651F46" wp14:editId="536DA150">
            <wp:extent cx="5943600" cy="2971800"/>
            <wp:effectExtent l="0" t="0" r="0" b="0"/>
            <wp:docPr id="6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" descr="DR5490-Yearly-Gun-Violence-Report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3"/>
    <w:bookmarkEnd w:id="10"/>
    <w:bookmarkEnd w:id="9"/>
    <w:sectPr w:rsidR="00250CA6">
      <w:head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B781" w14:textId="77777777" w:rsidR="00227985" w:rsidRDefault="00227985">
      <w:pPr>
        <w:spacing w:after="0"/>
      </w:pPr>
      <w:r>
        <w:separator/>
      </w:r>
    </w:p>
  </w:endnote>
  <w:endnote w:type="continuationSeparator" w:id="0">
    <w:p w14:paraId="4F3C62D0" w14:textId="77777777" w:rsidR="00227985" w:rsidRDefault="00227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7FC6" w14:textId="77777777" w:rsidR="00250CA6" w:rsidRDefault="00227985">
      <w:r>
        <w:separator/>
      </w:r>
    </w:p>
  </w:footnote>
  <w:footnote w:type="continuationSeparator" w:id="0">
    <w:p w14:paraId="281018B8" w14:textId="77777777" w:rsidR="00250CA6" w:rsidRDefault="0022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BEB6" w14:textId="77777777" w:rsidR="00227985" w:rsidRDefault="00227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8C42B" wp14:editId="7A9A8740">
              <wp:simplePos x="0" y="0"/>
              <wp:positionH relativeFrom="column">
                <wp:posOffset>-882595</wp:posOffset>
              </wp:positionH>
              <wp:positionV relativeFrom="paragraph">
                <wp:posOffset>401541</wp:posOffset>
              </wp:positionV>
              <wp:extent cx="7752522" cy="0"/>
              <wp:effectExtent l="38100" t="38100" r="77470" b="95250"/>
              <wp:wrapNone/>
              <wp:docPr id="204120630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AA94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31.6pt" to="540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" strokecolor="#94b6d2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39618" wp14:editId="5CE1C34D">
          <wp:simplePos x="0" y="0"/>
          <wp:positionH relativeFrom="column">
            <wp:posOffset>5486372</wp:posOffset>
          </wp:positionH>
          <wp:positionV relativeFrom="paragraph">
            <wp:posOffset>-311371</wp:posOffset>
          </wp:positionV>
          <wp:extent cx="1289050" cy="636270"/>
          <wp:effectExtent l="0" t="0" r="6350" b="0"/>
          <wp:wrapTight wrapText="bothSides">
            <wp:wrapPolygon edited="0">
              <wp:start x="0" y="0"/>
              <wp:lineTo x="0" y="20695"/>
              <wp:lineTo x="21387" y="20695"/>
              <wp:lineTo x="21387" y="0"/>
              <wp:lineTo x="0" y="0"/>
            </wp:wrapPolygon>
          </wp:wrapTight>
          <wp:docPr id="1156235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23574" name="Picture 115623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3C8472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BB8430C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170CD2DE"/>
    <w:multiLevelType w:val="multilevel"/>
    <w:tmpl w:val="8076BD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95503233">
    <w:abstractNumId w:val="2"/>
  </w:num>
  <w:num w:numId="2" w16cid:durableId="1601333195">
    <w:abstractNumId w:val="0"/>
  </w:num>
  <w:num w:numId="3" w16cid:durableId="160218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A6"/>
    <w:rsid w:val="00227985"/>
    <w:rsid w:val="002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2A31"/>
  <w15:docId w15:val="{2282F63B-7EB1-4CBF-919E-F7BD52D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4B6D2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94B6D2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94B6D2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4B83B2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94B6D2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548AB7" w:themeColor="accent1" w:themeShade="BF"/>
    </w:rPr>
  </w:style>
  <w:style w:type="paragraph" w:styleId="Header">
    <w:name w:val="header"/>
    <w:basedOn w:val="Normal"/>
    <w:link w:val="HeaderChar"/>
    <w:rsid w:val="008C5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C5036"/>
  </w:style>
  <w:style w:type="paragraph" w:styleId="Footer">
    <w:name w:val="footer"/>
    <w:basedOn w:val="Normal"/>
    <w:link w:val="FooterChar"/>
    <w:rsid w:val="008C5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C5036"/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Firearm Injury and Death Report</dc:title>
  <dc:creator>Jennifer Zuker</dc:creator>
  <cp:keywords/>
  <cp:lastModifiedBy>Jennifer Zuker</cp:lastModifiedBy>
  <cp:revision>2</cp:revision>
  <dcterms:created xsi:type="dcterms:W3CDTF">2024-01-22T18:11:00Z</dcterms:created>
  <dcterms:modified xsi:type="dcterms:W3CDTF">2024-01-22T18:11:00Z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header-includes">
    <vt:lpwstr/>
  </property>
  <property fmtid="{D5CDD505-2E9C-101B-9397-08002B2CF9AE}" pid="6" name="include-after">
    <vt:lpwstr/>
  </property>
  <property fmtid="{D5CDD505-2E9C-101B-9397-08002B2CF9AE}" pid="7" name="include-before">
    <vt:lpwstr/>
  </property>
  <property fmtid="{D5CDD505-2E9C-101B-9397-08002B2CF9AE}" pid="8" name="labels">
    <vt:lpwstr/>
  </property>
  <property fmtid="{D5CDD505-2E9C-101B-9397-08002B2CF9AE}" pid="9" name="toc-title">
    <vt:lpwstr>Table of contents</vt:lpwstr>
  </property>
</Properties>
</file>